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109 STUDENT HANDBOOK</w:t>
      </w:r>
    </w:p>
    <w:p>
      <w:pPr>
        <w:jc w:val="center"/>
      </w:pPr>
      <w:r>
        <w:rPr>
          <w:b/>
          <w:color w:val="1E293B"/>
          <w:sz w:val="28"/>
        </w:rPr>
        <w:t>Computer Vision Basics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109 objective  Complete the orientation and setup for Computer Vision Basics: Apply computer vision basics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computer vision basics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Computer Vision Basics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Computer Vision Basics.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“Computer Vision Basics”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Computer Vision Basics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Day_109_Computer_Vision_Basics/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Beyond_AI_Internship\Day_109_Computer_Vision_Basics\evidence, Beyond_AI_Internship\Day_109_Computer_Vision_Basics\notebooks, Beyond_AI_Internship\Day_109_Computer_Vision_Basics\src, Beyond_AI_Internship\Day_109_Computer_Vision_Basics\data, Beyond_AI_Internship\Day_109_Computer_Vision_Basics\output, Beyond_AI_Internship\Day_109_Computer_Vision_Basics\report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Beyond_AI_Internship/Day_109_Computer_Vision_Basics/{evidence,notebooks,src,data,output,report}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Computer Vision Basics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computer vision basics.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`src/day_109_lab.py`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day_109_lab.py — Orientation and setup: Computer Vision Basics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109 practical starter for Computer Vision Basics.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'Computer Vision Basics')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Computer Vision Basics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Computer Vision Basics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109 (Orientation and setup) on Computer Vision Basics.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