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110 STUDENT HANDBOOK</w:t>
      </w:r>
    </w:p>
    <w:p>
      <w:pPr>
        <w:jc w:val="center"/>
      </w:pPr>
      <w:r>
        <w:rPr>
          <w:b/>
          <w:color w:val="1E293B"/>
          <w:sz w:val="28"/>
        </w:rPr>
        <w:t>Computer Vision Basics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110 objective  Complete the guided practical for Computer Vision Basics: Apply computer vision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computer vision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Computer Vision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Computer Vision Basics.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“Computer Vision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Computer Vision Basics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Day_110_Computer_Vision_Basics/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Beyond_AI_Internship\Day_110_Computer_Vision_Basics\evidence, Beyond_AI_Internship\Day_110_Computer_Vision_Basics\notebooks, Beyond_AI_Internship\Day_110_Computer_Vision_Basics\src, Beyond_AI_Internship\Day_110_Computer_Vision_Basics\data, Beyond_AI_Internship\Day_110_Computer_Vision_Basics\output, Beyond_AI_Internship\Day_110_Computer_Vision_Basics\report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Beyond_AI_Internship/Day_110_Computer_Vision_Basics/{evidence,notebooks,src,data,output,report}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Computer Vision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computer vision basics.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day_110_lab.py — Guided practical: Computer Vision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110 practical starter for Computer Vision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'Computer Vision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Computer Vision Basics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Computer Vision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110 (Guided practical) on Computer Vision Basics.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