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125 STUDENT HANDBOOK</w:t>
      </w:r>
    </w:p>
    <w:p>
      <w:pPr>
        <w:jc w:val="center"/>
      </w:pPr>
      <w:r>
        <w:rPr>
          <w:b/>
          <w:color w:val="1E293B"/>
          <w:sz w:val="28"/>
        </w:rPr>
        <w:t>Speech And Audio Ai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125 objective  Complete the document and improve for Speech And Audio Ai Basics: Apply speech and audio AI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speech and audio AI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Speech And Audio Ai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Speech And Audio Ai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“Speech And Audio Ai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Day_125_Speech_And_Audio_Ai_Basics/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Beyond_AI_Internship\Day_125_Speech_And_Audio_Ai_Basics\evidence, Beyond_AI_Internship\Day_125_Speech_And_Audio_Ai_Basics\notebooks, Beyond_AI_Internship\Day_125_Speech_And_Audio_Ai_Basics\src, Beyond_AI_Internship\Day_125_Speech_And_Audio_Ai_Basics\data, Beyond_AI_Internship\Day_125_Speech_And_Audio_Ai_Basics\output, Beyond_AI_Internship\Day_125_Speech_And_Audio_Ai_Basics\report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Beyond_AI_Internship/Day_125_Speech_And_Audio_Ai_Basics/{evidence,notebooks,src,data,output,report}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Speech And Audio Ai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speech and audio AI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day_125_lab.py — Document and improve: Speech And Audio Ai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125 practical starter for Speech And Audio Ai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'Speech And Audio Ai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Speech And Audio Ai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Speech And Audio Ai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125 (Document and improve) on Speech And Audio Ai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