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135 STUDENT HANDBOOK</w:t>
      </w:r>
    </w:p>
    <w:p>
      <w:pPr>
        <w:jc w:val="center"/>
      </w:pPr>
      <w:r>
        <w:rPr>
          <w:b/>
          <w:color w:val="1E293B"/>
          <w:sz w:val="28"/>
        </w:rPr>
        <w:t>Generative Ai Concepts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135 objective  Complete the independent build for Generative Ai Concepts: Apply generative AI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generative AI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Generative Ai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Generative Ai Concepts.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“Generative Ai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Day_135_Generative_Ai_Concepts/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Beyond_AI_Internship\Day_135_Generative_Ai_Concepts\evidence, Beyond_AI_Internship\Day_135_Generative_Ai_Concepts\notebooks, Beyond_AI_Internship\Day_135_Generative_Ai_Concepts\src, Beyond_AI_Internship\Day_135_Generative_Ai_Concepts\data, Beyond_AI_Internship\Day_135_Generative_Ai_Concepts\output, Beyond_AI_Internship\Day_135_Generative_Ai_Concepts\report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Beyond_AI_Internship/Day_135_Generative_Ai_Concepts/{evidence,notebooks,src,data,output,report}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Generative Ai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generative AI concepts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day_135_lab.py — Independent build: Generative Ai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135 practical starter for Generative Ai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'Generative Ai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Generative Ai Concepts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Generative Ai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135 (Independent build) on Generative Ai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