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137 STUDENT HANDBOOK</w:t>
      </w:r>
    </w:p>
    <w:p>
      <w:pPr>
        <w:jc w:val="center"/>
      </w:pPr>
      <w:r>
        <w:rPr>
          <w:b/>
          <w:color w:val="1E293B"/>
          <w:sz w:val="28"/>
        </w:rPr>
        <w:t>Generative Ai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137 objective  Complete the document and improve for Generative Ai Concepts: Apply generative AI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generative AI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Generative Ai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Generative Ai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“Generative Ai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Day_137_Generative_Ai_Concepts/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Beyond_AI_Internship\Day_137_Generative_Ai_Concepts\evidence, Beyond_AI_Internship\Day_137_Generative_Ai_Concepts\notebooks, Beyond_AI_Internship\Day_137_Generative_Ai_Concepts\src, Beyond_AI_Internship\Day_137_Generative_Ai_Concepts\data, Beyond_AI_Internship\Day_137_Generative_Ai_Concepts\output, Beyond_AI_Internship\Day_137_Generative_Ai_Concepts\report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Beyond_AI_Internship/Day_137_Generative_Ai_Concepts/{evidence,notebooks,src,data,output,report}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Generative Ai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generative AI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day_137_lab.py — Document and improve: Generative Ai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137 practical starter for Generative Ai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'Generative Ai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Generative Ai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Generative Ai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137 (Document and improve) on Generative Ai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