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141 STUDENT HANDBOOK</w:t>
      </w:r>
    </w:p>
    <w:p>
      <w:pPr>
        <w:jc w:val="center"/>
      </w:pPr>
      <w:r>
        <w:rPr>
          <w:b/>
          <w:color w:val="1E293B"/>
          <w:sz w:val="28"/>
        </w:rPr>
        <w:t>Prompt Engineering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141 objective  Complete the independent build for Prompt Engineering: Apply prompt engineering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prompt engineering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Prompt Engineering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Prompt Engineering.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“Prompt Engineering”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VS Code, local/open models where practical.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Day_141_Prompt_Engineering/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Beyond_AI_Internship\Day_141_Prompt_Engineering\evidence, Beyond_AI_Internship\Day_141_Prompt_Engineering\notebooks, Beyond_AI_Internship\Day_141_Prompt_Engineering\src, Beyond_AI_Internship\Day_141_Prompt_Engineering\data, Beyond_AI_Internship\Day_141_Prompt_Engineering\output, Beyond_AI_Internship\Day_141_Prompt_Engineering\report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Beyond_AI_Internship/Day_141_Prompt_Engineering/{evidence,notebooks,src,data,output,report}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Prompt Engineering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prompt engineering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`src/day_141_lab.py`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day_141_lab.py — Independent build: Prompt Engineering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141 practical starter for Prompt Engineering.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'Prompt Engineering')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Prompt Engineering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Prompt Engineering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141 (Independent build) on Prompt Engineering.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