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155 STUDENT HANDBOOK</w:t>
      </w:r>
    </w:p>
    <w:p>
      <w:pPr>
        <w:jc w:val="center"/>
      </w:pPr>
      <w:r>
        <w:rPr>
          <w:b/>
          <w:color w:val="1E293B"/>
          <w:sz w:val="28"/>
        </w:rPr>
        <w:t>Ai Agents And Tool Use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155 objective  Complete the document and improve for Ai Agents And Tool Use: Apply AI agents and tool use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AI agents and tool use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Ai Agents And Tool Use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Ai Agents And Tool Use.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“Ai Agents And Tool Use”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Day_155_Ai_Agents_And_Tool_Use/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Beyond_AI_Internship\Day_155_Ai_Agents_And_Tool_Use\evidence, Beyond_AI_Internship\Day_155_Ai_Agents_And_Tool_Use\notebooks, Beyond_AI_Internship\Day_155_Ai_Agents_And_Tool_Use\src, Beyond_AI_Internship\Day_155_Ai_Agents_And_Tool_Use\data, Beyond_AI_Internship\Day_155_Ai_Agents_And_Tool_Use\output, Beyond_AI_Internship\Day_155_Ai_Agents_And_Tool_Use\report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Beyond_AI_Internship/Day_155_Ai_Agents_And_Tool_Use/{evidence,notebooks,src,data,output,report}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Ai Agents And Tool Use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AI agents and tool use,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day_155_lab.py — Document and improve: Ai Agents And Tool Use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155 practical starter for Ai Agents And Tool Use.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'Ai Agents And Tool Use')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Ai Agents And Tool Use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Ai Agents And Tool Use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155 (Document and improve) on Ai Agents And Tool Use.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