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159 STUDENT HANDBOOK</w:t>
      </w:r>
    </w:p>
    <w:p>
      <w:pPr>
        <w:jc w:val="center"/>
      </w:pPr>
      <w:r>
        <w:rPr>
          <w:b/>
          <w:color w:val="1E293B"/>
          <w:sz w:val="28"/>
        </w:rPr>
        <w:t>Bias Privacy And Safety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159 objective  Complete the independent build for Bias Privacy And Safety: Apply bias privacy and safety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bias privacy and safety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Bias Privacy And Safety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Bias Privacy And Safety.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“Bias Privacy And Safety”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Bias Privacy And Safety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Day_159_Bias_Privacy_And_Safety/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Beyond_AI_Internship\Day_159_Bias_Privacy_And_Safety\evidence, Beyond_AI_Internship\Day_159_Bias_Privacy_And_Safety\notebooks, Beyond_AI_Internship\Day_159_Bias_Privacy_And_Safety\src, Beyond_AI_Internship\Day_159_Bias_Privacy_And_Safety\data, Beyond_AI_Internship\Day_159_Bias_Privacy_And_Safety\output, Beyond_AI_Internship\Day_159_Bias_Privacy_And_Safety\report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Beyond_AI_Internship/Day_159_Bias_Privacy_And_Safety/{evidence,notebooks,src,data,output,report}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Bias Privacy And Safety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bias privacy and safety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`src/day_159_lab.py`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day_159_lab.py — Independent build: Bias Privacy And Safety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159 practical starter for Bias Privacy And Safety.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'Bias Privacy And Safety')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Bias Privacy And Safety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Bias Privacy And Safety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159 (Independent build) on Bias Privacy And Safety.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