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147 STUDENT HANDBOOK</w:t>
      </w:r>
    </w:p>
    <w:p>
      <w:pPr>
        <w:jc w:val="center"/>
      </w:pPr>
      <w:r>
        <w:rPr>
          <w:b/>
          <w:color w:val="1E293B"/>
          <w:sz w:val="28"/>
        </w:rPr>
        <w:t>Serverless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147 objective  Complete the independent build for Serverless Concepts: Apply serverless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serverless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Serverless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Serverless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“Serverless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Serverless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Day_147_Serverless_Concepts/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Beyond_Cloud_Internship\Day_147_Serverless_Concepts\evidence, Beyond_Cloud_Internship\Day_147_Serverless_Concepts\notebooks, Beyond_Cloud_Internship\Day_147_Serverless_Concepts\src, Beyond_Cloud_Internship\Day_147_Serverless_Concepts\data, Beyond_Cloud_Internship\Day_147_Serverless_Concepts\output, Beyond_Cloud_Internship\Day_147_Serverless_Concepts\report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Beyond_Cloud_Internship/Day_147_Serverless_Concepts/{evidence,notebooks,src,data,output,report}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Serverless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serverless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day_147_lab.py — Independent build: Serverless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147 practical starter for Serverless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'Serverless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Serverless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Serverless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147 (Independent build) on Serverless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