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172 STUDENT HANDBOOK</w:t>
      </w:r>
    </w:p>
    <w:p>
      <w:pPr>
        <w:jc w:val="center"/>
      </w:pPr>
      <w:r>
        <w:rPr>
          <w:b/>
          <w:color w:val="1E293B"/>
          <w:sz w:val="28"/>
        </w:rPr>
        <w:t>Hybrid Rural-Office Architecture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172 objective  Complete the troubleshoot for Hybrid Rural-Office Architecture: Apply hybrid rural-office architecture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hybrid rural-office architecture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Hybrid Rural-Office Architecture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Hybrid Rural-Office Architecture.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“Hybrid Rural-Office Architecture”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Hybrid Rural-Office Architecture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Day_172_Hybrid_Rural_Office_Architecture/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Beyond_Cloud_Internship\Day_172_Hybrid_Rural_Office_Architecture\evidence, Beyond_Cloud_Internship\Day_172_Hybrid_Rural_Office_Architecture\notebooks, Beyond_Cloud_Internship\Day_172_Hybrid_Rural_Office_Architecture\src, Beyond_Cloud_Internship\Day_172_Hybrid_Rural_Office_Architecture\data, Beyond_Cloud_Internship\Day_172_Hybrid_Rural_Office_Architecture\output, Beyond_Cloud_Internship\Day_172_Hybrid_Rural_Office_Architecture\report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Beyond_Cloud_Internship/Day_172_Hybrid_Rural_Office_Architecture/{evidence,notebooks,src,data,output,report}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Hybrid Rural-Office Architecture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hybrid rural-office architecture.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day_172_lab.py — Troubleshoot: Hybrid Rural-Office Architecture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172 practical starter for Hybrid Rural-Office Architecture.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'Hybrid Rural-Office Architecture')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Hybrid Rural-Office Architecture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Hybrid Rural-Office Architecture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172 (Troubleshoot) on Hybrid Rural-Office Architecture.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