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 STUDENT HANDBOOK</w:t>
      </w:r>
    </w:p>
    <w:p>
      <w:pPr>
        <w:jc w:val="center"/>
      </w:pPr>
      <w:r>
        <w:rPr>
          <w:b/>
          <w:color w:val="1E293B"/>
          <w:sz w:val="28"/>
        </w:rPr>
        <w:t>Linux Command Line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 objective  Complete the guided practical for Linux Command Line: Apply Linux command line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Linux command line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Linux Command Line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Linux Command Line.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“Linux Command Line”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Day_14_Linux_Command_Line/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Beyond_CyberSecurity_Internship\Day_14_Linux_Command_Line\evidence, Beyond_CyberSecurity_Internship\Day_14_Linux_Command_Line\notebooks, Beyond_CyberSecurity_Internship\Day_14_Linux_Command_Line\src, Beyond_CyberSecurity_Internship\Day_14_Linux_Command_Line\data, Beyond_CyberSecurity_Internship\Day_14_Linux_Command_Line\output, Beyond_CyberSecurity_Internship\Day_14_Linux_Command_Line\report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Beyond_CyberSecurity_Internship/Day_14_Linux_Command_Line/{evidence,notebooks,src,data,output,report}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Linux Command Line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Linux command line.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day_14_lab.py — Guided practical: Linux Command Line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 practical starter for Linux Command Line.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'Linux Command Line')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Linux Command Line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Linux Command Line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 (Guided practical) on Linux Command Line.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