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21 STUDENT HANDBOOK</w:t>
      </w:r>
    </w:p>
    <w:p>
      <w:pPr>
        <w:jc w:val="center"/>
      </w:pPr>
      <w:r>
        <w:rPr>
          <w:b/>
          <w:color w:val="1E293B"/>
          <w:sz w:val="28"/>
        </w:rPr>
        <w:t>Windows Administration Basics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21 objective  Complete the independent build for Windows Administration Basics: Apply Windows administration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Windows administration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Windows Administration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Windows Administration Basics.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“Windows Administration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Day_21_Windows_Administration_Basics/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Beyond_CyberSecurity_Internship\Day_21_Windows_Administration_Basics\evidence, Beyond_CyberSecurity_Internship\Day_21_Windows_Administration_Basics\notebooks, Beyond_CyberSecurity_Internship\Day_21_Windows_Administration_Basics\src, Beyond_CyberSecurity_Internship\Day_21_Windows_Administration_Basics\data, Beyond_CyberSecurity_Internship\Day_21_Windows_Administration_Basics\output, Beyond_CyberSecurity_Internship\Day_21_Windows_Administration_Basics\report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Beyond_CyberSecurity_Internship/Day_21_Windows_Administration_Basics/{evidence,notebooks,src,data,output,report}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Windows Administration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Windows administration basics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`src/day_21_lab.py`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day_21_lab.py — Independent build: Windows Administration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21 practical starter for Windows Administration Basics.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'Windows Administration Basics')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Windows Administration Basics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Windows Administration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21 (Independent build) on Windows Administration Basics.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