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30 STUDENT HANDBOOK</w:t>
      </w:r>
    </w:p>
    <w:p>
      <w:pPr>
        <w:jc w:val="center"/>
      </w:pPr>
      <w:r>
        <w:rPr>
          <w:b/>
          <w:color w:val="1E293B"/>
          <w:sz w:val="28"/>
        </w:rPr>
        <w:t>Networking For Defenders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30 objective  Complete the assessment and reflection for Networking For Defenders: Apply networking for defenders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networking for defenders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Networking For Defenders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Networking For Defenders.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“Networking For Defenders”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Day_30_Networking_For_Defenders/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Beyond_CyberSecurity_Internship\Day_30_Networking_For_Defenders\evidence, Beyond_CyberSecurity_Internship\Day_30_Networking_For_Defenders\notebooks, Beyond_CyberSecurity_Internship\Day_30_Networking_For_Defenders\src, Beyond_CyberSecurity_Internship\Day_30_Networking_For_Defenders\data, Beyond_CyberSecurity_Internship\Day_30_Networking_For_Defenders\output, Beyond_CyberSecurity_Internship\Day_30_Networking_For_Defenders\report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Beyond_CyberSecurity_Internship/Day_30_Networking_For_Defenders/{evidence,notebooks,src,data,output,report}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Networking For Defenders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networking for defenders,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`src/day_30_lab.py`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day_30_lab.py — Assessment and reflection: Networking For Defenders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30 practical starter for Networking For Defenders.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'Networking For Defenders')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Networking For Defenders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Networking For Defenders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30 (Assessment and reflection) on Networking For Defenders.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