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45 STUDENT HANDBOOK</w:t>
      </w:r>
    </w:p>
    <w:p>
      <w:pPr>
        <w:jc w:val="center"/>
      </w:pPr>
      <w:r>
        <w:rPr>
          <w:b/>
          <w:color w:val="1E293B"/>
          <w:sz w:val="28"/>
        </w:rPr>
        <w:t>Threat Modeling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45 objective  Complete the independent build for Threat Modeling: Apply threat modeling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threat modeling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Threat Modeling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Threat Modeling.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“Threat Modeling”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Day_45_Threat_Modeling/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Beyond_CyberSecurity_Internship\Day_45_Threat_Modeling\evidence, Beyond_CyberSecurity_Internship\Day_45_Threat_Modeling\notebooks, Beyond_CyberSecurity_Internship\Day_45_Threat_Modeling\src, Beyond_CyberSecurity_Internship\Day_45_Threat_Modeling\data, Beyond_CyberSecurity_Internship\Day_45_Threat_Modeling\output, Beyond_CyberSecurity_Internship\Day_45_Threat_Modeling\report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Beyond_CyberSecurity_Internship/Day_45_Threat_Modeling/{evidence,notebooks,src,data,output,report}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Threat Modeling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threat modeling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day_45_lab.py — Independent build: Threat Modeling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45 practical starter for Threat Modeling.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'Threat Modeling')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Threat Modeling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Threat Modeling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45 (Independent build) on Threat Modeling.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