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49 STUDENT HANDBOOK</w:t>
      </w:r>
    </w:p>
    <w:p>
      <w:pPr>
        <w:jc w:val="center"/>
      </w:pPr>
      <w:r>
        <w:rPr>
          <w:b/>
          <w:color w:val="1E293B"/>
          <w:sz w:val="28"/>
        </w:rPr>
        <w:t>Security Policies And Awareness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49 objective  Complete the orientation and setup for Security Policies And Awareness: Apply security policies and awareness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policies and awareness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Policies And Awareness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Policies And Awareness.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Policies And Awareness”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Day_49_Security_Policies_And_Awareness/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Beyond_CyberSecurity_Internship\Day_49_Security_Policies_And_Awareness\evidence, Beyond_CyberSecurity_Internship\Day_49_Security_Policies_And_Awareness\notebooks, Beyond_CyberSecurity_Internship\Day_49_Security_Policies_And_Awareness\src, Beyond_CyberSecurity_Internship\Day_49_Security_Policies_And_Awareness\data, Beyond_CyberSecurity_Internship\Day_49_Security_Policies_And_Awareness\output, Beyond_CyberSecurity_Internship\Day_49_Security_Policies_And_Awareness\report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Beyond_CyberSecurity_Internship/Day_49_Security_Policies_And_Awareness/{evidence,notebooks,src,data,output,report}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Security Policies And Awareness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security policies and awareness.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day_49_lab.py — Orientation and setup: Security Policies And Awareness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49 practical starter for Security Policies And Awareness.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Policies And Awareness')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Policies And Awareness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Policies And Awareness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49 (Orientation and setup) on Security Policies And Awareness.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