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50 STUDENT HANDBOOK</w:t>
      </w:r>
    </w:p>
    <w:p>
      <w:pPr>
        <w:jc w:val="center"/>
      </w:pPr>
      <w:r>
        <w:rPr>
          <w:b/>
          <w:color w:val="1E293B"/>
          <w:sz w:val="28"/>
        </w:rPr>
        <w:t>Security Policies And Awareness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50 objective  Complete the guided practical for Security Policies And Awareness: Apply security policies and awareness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security policies and awareness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Security Policies And Awareness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Policies And Awareness.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Policies And Awareness”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Day_50_Security_Policies_And_Awareness/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Beyond_CyberSecurity_Internship\Day_50_Security_Policies_And_Awareness\evidence, Beyond_CyberSecurity_Internship\Day_50_Security_Policies_And_Awareness\notebooks, Beyond_CyberSecurity_Internship\Day_50_Security_Policies_And_Awareness\src, Beyond_CyberSecurity_Internship\Day_50_Security_Policies_And_Awareness\data, Beyond_CyberSecurity_Internship\Day_50_Security_Policies_And_Awareness\output, Beyond_CyberSecurity_Internship\Day_50_Security_Policies_And_Awareness\report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Beyond_CyberSecurity_Internship/Day_50_Security_Policies_And_Awareness/{evidence,notebooks,src,data,output,report}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Security Policies And Awareness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security policies and awareness.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day_50_lab.py — Guided practical: Security Policies And Awareness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50 practical starter for Security Policies And Awareness.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Policies And Awareness')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Policies And Awareness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Policies And Awareness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50 (Guided practical) on Security Policies And Awareness.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