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57 STUDENT HANDBOOK</w:t>
      </w:r>
    </w:p>
    <w:p>
      <w:pPr>
        <w:jc w:val="center"/>
      </w:pPr>
      <w:r>
        <w:rPr>
          <w:b/>
          <w:color w:val="1E293B"/>
          <w:sz w:val="28"/>
        </w:rPr>
        <w:t>Identity And Access Management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57 objective  Complete the independent build for Identity And Access Management: Apply identity and access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identity and access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Identity And Access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Identity And Access Management.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“Identity And Access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Identity And Access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Day_57_Identity_And_Access_Management/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Beyond_CyberSecurity_Internship\Day_57_Identity_And_Access_Management\evidence, Beyond_CyberSecurity_Internship\Day_57_Identity_And_Access_Management\notebooks, Beyond_CyberSecurity_Internship\Day_57_Identity_And_Access_Management\src, Beyond_CyberSecurity_Internship\Day_57_Identity_And_Access_Management\data, Beyond_CyberSecurity_Internship\Day_57_Identity_And_Access_Management\output, Beyond_CyberSecurity_Internship\Day_57_Identity_And_Access_Management\report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Beyond_CyberSecurity_Internship/Day_57_Identity_And_Access_Management/{evidence,notebooks,src,data,output,report}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Identity And Access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identity and access management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day_57_lab.py — Independent build: Identity And Access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57 practical starter for Identity And Access Management.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'Identity And Access Management')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Identity And Access Management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Identity And Access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57 (Independent build) on Identity And Access Management.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