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86 STUDENT HANDBOOK</w:t>
      </w:r>
    </w:p>
    <w:p>
      <w:pPr>
        <w:jc w:val="center"/>
      </w:pPr>
      <w:r>
        <w:rPr>
          <w:b/>
          <w:color w:val="1E293B"/>
          <w:sz w:val="28"/>
        </w:rPr>
        <w:t>Wireshark Traffic Analysis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86 objective  Complete the guided practical for Wireshark Traffic Analysis: Apply Wireshark traffic analysis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Wireshark traffic analysis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Wireshark Traffic Analysis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Wireshark Traffic Analysis.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“Wireshark Traffic Analysis”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Wireshark Traffic Analysis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Day_86_Wireshark_Traffic_Analysis/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Beyond_CyberSecurity_Internship\Day_86_Wireshark_Traffic_Analysis\evidence, Beyond_CyberSecurity_Internship\Day_86_Wireshark_Traffic_Analysis\notebooks, Beyond_CyberSecurity_Internship\Day_86_Wireshark_Traffic_Analysis\src, Beyond_CyberSecurity_Internship\Day_86_Wireshark_Traffic_Analysis\data, Beyond_CyberSecurity_Internship\Day_86_Wireshark_Traffic_Analysis\output, Beyond_CyberSecurity_Internship\Day_86_Wireshark_Traffic_Analysis\report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Beyond_CyberSecurity_Internship/Day_86_Wireshark_Traffic_Analysis/{evidence,notebooks,src,data,output,report}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Wireshark Traffic Analysis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Wireshark traffic analysis.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`src/day_86_lab.py`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day_86_lab.py — Guided practical: Wireshark Traffic Analysis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86 practical starter for Wireshark Traffic Analysis.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'Wireshark Traffic Analysis')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Wireshark Traffic Analysis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Wireshark Traffic Analysis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86 (Guided practical) on Wireshark Traffic Analysis.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