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107 STUDENT HANDBOOK</w:t>
      </w:r>
    </w:p>
    <w:p>
      <w:pPr>
        <w:jc w:val="center"/>
      </w:pPr>
      <w:r>
        <w:rPr>
          <w:b/>
          <w:color w:val="1E293B"/>
          <w:sz w:val="28"/>
        </w:rPr>
        <w:t>Owasp Top 10 Labs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107 objective  Complete the document and improve for Owasp Top 10 Labs: Apply OWASP Top 10 labs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OWASP Top 10 labs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Owasp Top 10 Labs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Owasp Top 10 Labs.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“Owasp Top 10 Labs”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Owasp Top 10 Labs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Day_107_Owasp_Top_10_Labs/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Beyond_CyberSecurity_Internship\Day_107_Owasp_Top_10_Labs\evidence, Beyond_CyberSecurity_Internship\Day_107_Owasp_Top_10_Labs\notebooks, Beyond_CyberSecurity_Internship\Day_107_Owasp_Top_10_Labs\src, Beyond_CyberSecurity_Internship\Day_107_Owasp_Top_10_Labs\data, Beyond_CyberSecurity_Internship\Day_107_Owasp_Top_10_Labs\output, Beyond_CyberSecurity_Internship\Day_107_Owasp_Top_10_Labs\report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Beyond_CyberSecurity_Internship/Day_107_Owasp_Top_10_Labs/{evidence,notebooks,src,data,output,report}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Owasp Top 10 Labs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OWASP Top 10 labs,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day_107_lab.py — Document and improve: Owasp Top 10 Labs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107 practical starter for Owasp Top 10 Labs.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'Owasp Top 10 Labs')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Owasp Top 10 Labs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Owasp Top 10 Labs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107 (Document and improve) on Owasp Top 10 Labs.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