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111 STUDENT HANDBOOK</w:t>
      </w:r>
    </w:p>
    <w:p>
      <w:pPr>
        <w:jc w:val="center"/>
      </w:pPr>
      <w:r>
        <w:rPr>
          <w:b/>
          <w:color w:val="1E293B"/>
          <w:sz w:val="28"/>
        </w:rPr>
        <w:t>Phishing Recognition And Response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111 objective  Complete the independent build for Phishing Recognition And Response: Apply phishing recognition and response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phishing recognition and response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Phishing Recognition And Response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Phishing Recognition And Response.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“Phishing Recognition And Response”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Phishing Recognition And Response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Day_111_Phishing_Recognition_And_Response/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Beyond_CyberSecurity_Internship\Day_111_Phishing_Recognition_And_Response\evidence, Beyond_CyberSecurity_Internship\Day_111_Phishing_Recognition_And_Response\notebooks, Beyond_CyberSecurity_Internship\Day_111_Phishing_Recognition_And_Response\src, Beyond_CyberSecurity_Internship\Day_111_Phishing_Recognition_And_Response\data, Beyond_CyberSecurity_Internship\Day_111_Phishing_Recognition_And_Response\output, Beyond_CyberSecurity_Internship\Day_111_Phishing_Recognition_And_Response\report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Beyond_CyberSecurity_Internship/Day_111_Phishing_Recognition_And_Response/{evidence,notebooks,src,data,output,report}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Phishing Recognition And Response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phishing recognition and response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day_111_lab.py — Independent build: Phishing Recognition And Response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111 practical starter for Phishing Recognition And Response.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'Phishing Recognition And Response')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Phishing Recognition And Response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Phishing Recognition And Response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111 (Independent build) on Phishing Recognition And Response.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