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117 STUDENT HANDBOOK</w:t>
      </w:r>
    </w:p>
    <w:p>
      <w:pPr>
        <w:jc w:val="center"/>
      </w:pPr>
      <w:r>
        <w:rPr>
          <w:b/>
          <w:color w:val="1E293B"/>
          <w:sz w:val="28"/>
        </w:rPr>
        <w:t>Malware Concepts And Safe Analysis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117 objective  Complete the independent build for Malware Concepts And Safe Analysis: Apply malware concepts and safe analysis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malware concepts and safe analysis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Malware Concepts And Safe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Malware Concepts And Safe Analysis.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“Malware Concepts And Safe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Day_117_Malware_Concepts_And_Safe_Analysis/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Beyond_CyberSecurity_Internship\Day_117_Malware_Concepts_And_Safe_Analysis\evidence, Beyond_CyberSecurity_Internship\Day_117_Malware_Concepts_And_Safe_Analysis\notebooks, Beyond_CyberSecurity_Internship\Day_117_Malware_Concepts_And_Safe_Analysis\src, Beyond_CyberSecurity_Internship\Day_117_Malware_Concepts_And_Safe_Analysis\data, Beyond_CyberSecurity_Internship\Day_117_Malware_Concepts_And_Safe_Analysis\output, Beyond_CyberSecurity_Internship\Day_117_Malware_Concepts_And_Safe_Analysis\report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Beyond_CyberSecurity_Internship/Day_117_Malware_Concepts_And_Safe_Analysis/{evidence,notebooks,src,data,output,report}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Malware Concepts And Safe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malware concepts and safe analysis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day_117_lab.py — Independent build: Malware Concepts And Safe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117 practical starter for Malware Concepts And Safe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'Malware Concepts And Safe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Malware Concepts And Safe Analysis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Malware Concepts And Safe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117 (Independent build) on Malware Concepts And Safe Analysis.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