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123 STUDENT HANDBOOK</w:t>
      </w:r>
    </w:p>
    <w:p>
      <w:pPr>
        <w:jc w:val="center"/>
      </w:pPr>
      <w:r>
        <w:rPr>
          <w:b/>
          <w:color w:val="1E293B"/>
          <w:sz w:val="28"/>
        </w:rPr>
        <w:t>Cryptography Fundamentals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123 objective  Complete the independent build for Cryptography Fundamentals: Apply cryptography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cryptography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Cryptography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Cryptography Fundamentals.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“Cryptography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Day_123_Cryptography_Fundamentals/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Beyond_CyberSecurity_Internship\Day_123_Cryptography_Fundamentals\evidence, Beyond_CyberSecurity_Internship\Day_123_Cryptography_Fundamentals\notebooks, Beyond_CyberSecurity_Internship\Day_123_Cryptography_Fundamentals\src, Beyond_CyberSecurity_Internship\Day_123_Cryptography_Fundamentals\data, Beyond_CyberSecurity_Internship\Day_123_Cryptography_Fundamentals\output, Beyond_CyberSecurity_Internship\Day_123_Cryptography_Fundamentals\report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Beyond_CyberSecurity_Internship/Day_123_Cryptography_Fundamentals/{evidence,notebooks,src,data,output,report}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Cryptography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cryptography fundamentals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day_123_lab.py — Independent build: Cryptography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123 practical starter for Cryptography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'Cryptography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Cryptography Fundamentals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Cryptography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123 (Independent build) on Cryptography Fundamentals.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