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138 STUDENT HANDBOOK</w:t>
      </w:r>
    </w:p>
    <w:p>
      <w:pPr>
        <w:jc w:val="center"/>
      </w:pPr>
      <w:r>
        <w:rPr>
          <w:b/>
          <w:color w:val="1E293B"/>
          <w:sz w:val="28"/>
        </w:rPr>
        <w:t>Incident Response Lifecycle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138 objective  Complete the assessment and reflection for Incident Response Lifecycle: Apply incident response lifecycle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incident response lifecycle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Incident Response Lifecycle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Incident Response Lifecycle.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“Incident Response Lifecycle”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Day_138_Incident_Response_Lifecycle/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Beyond_CyberSecurity_Internship\Day_138_Incident_Response_Lifecycle\evidence, Beyond_CyberSecurity_Internship\Day_138_Incident_Response_Lifecycle\notebooks, Beyond_CyberSecurity_Internship\Day_138_Incident_Response_Lifecycle\src, Beyond_CyberSecurity_Internship\Day_138_Incident_Response_Lifecycle\data, Beyond_CyberSecurity_Internship\Day_138_Incident_Response_Lifecycle\output, Beyond_CyberSecurity_Internship\Day_138_Incident_Response_Lifecycle\report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Beyond_CyberSecurity_Internship/Day_138_Incident_Response_Lifecycle/{evidence,notebooks,src,data,output,report}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Incident Response Lifecycle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incident response lifecycle,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day_138_lab.py — Assessment and reflection: Incident Response Lifecycle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138 practical starter for Incident Response Lifecycle.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'Incident Response Lifecycle')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Incident Response Lifecycle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Incident Response Lifecycle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138 (Assessment and reflection) on Incident Response Lifecycle.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