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141 STUDENT HANDBOOK</w:t>
      </w:r>
    </w:p>
    <w:p>
      <w:pPr>
        <w:jc w:val="center"/>
      </w:pPr>
      <w:r>
        <w:rPr>
          <w:b/>
          <w:color w:val="1E293B"/>
          <w:sz w:val="28"/>
        </w:rPr>
        <w:t>Digital Evidence Handling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141 objective  Complete the independent build for Digital Evidence Handling: Apply digital evidence handling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digital evidence handling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Digital Evidence Handling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Digital Evidence Handling.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“Digital Evidence Handling”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Day_141_Digital_Evidence_Handling/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Beyond_CyberSecurity_Internship\Day_141_Digital_Evidence_Handling\evidence, Beyond_CyberSecurity_Internship\Day_141_Digital_Evidence_Handling\notebooks, Beyond_CyberSecurity_Internship\Day_141_Digital_Evidence_Handling\src, Beyond_CyberSecurity_Internship\Day_141_Digital_Evidence_Handling\data, Beyond_CyberSecurity_Internship\Day_141_Digital_Evidence_Handling\output, Beyond_CyberSecurity_Internship\Day_141_Digital_Evidence_Handling\report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Beyond_CyberSecurity_Internship/Day_141_Digital_Evidence_Handling/{evidence,notebooks,src,data,output,report}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Digital Evidence Handling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digital evidence handling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`src/day_141_lab.py`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day_141_lab.py — Independent build: Digital Evidence Handling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141 practical starter for Digital Evidence Handling.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'Digital Evidence Handling')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Digital Evidence Handling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Digital Evidence Handling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141 (Independent build) on Digital Evidence Handling.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