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144 STUDENT HANDBOOK</w:t>
      </w:r>
    </w:p>
    <w:p>
      <w:pPr>
        <w:jc w:val="center"/>
      </w:pPr>
      <w:r>
        <w:rPr>
          <w:b/>
          <w:color w:val="1E293B"/>
          <w:sz w:val="28"/>
        </w:rPr>
        <w:t>Digital Evidence Handling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144 objective  Complete the assessment and reflection for Digital Evidence Handling: Apply digital evidence handling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evidence handling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Evidence Handling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Evidence Handling.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Evidence Handling”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Day_144_Digital_Evidence_Handling/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Beyond_CyberSecurity_Internship\Day_144_Digital_Evidence_Handling\evidence, Beyond_CyberSecurity_Internship\Day_144_Digital_Evidence_Handling\notebooks, Beyond_CyberSecurity_Internship\Day_144_Digital_Evidence_Handling\src, Beyond_CyberSecurity_Internship\Day_144_Digital_Evidence_Handling\data, Beyond_CyberSecurity_Internship\Day_144_Digital_Evidence_Handling\output, Beyond_CyberSecurity_Internship\Day_144_Digital_Evidence_Handling\report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Beyond_CyberSecurity_Internship/Day_144_Digital_Evidence_Handling/{evidence,notebooks,src,data,output,report}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Digital Evidence Handling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digital evidence handling,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day_144_lab.py — Assessment and reflection: Digital Evidence Handling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144 practical starter for Digital Evidence Handling.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'Digital Evidence Handling')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Evidence Handling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Evidence Handling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144 (Assessment and reflection) on Digital Evidence Handling.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