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164 STUDENT HANDBOOK</w:t>
      </w:r>
    </w:p>
    <w:p>
      <w:pPr>
        <w:jc w:val="center"/>
      </w:pPr>
      <w:r>
        <w:rPr>
          <w:b/>
          <w:color w:val="1E293B"/>
          <w:sz w:val="28"/>
        </w:rPr>
        <w:t>Security Audit And Reporting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164 objective  Complete the guided practical for Security Audit And Reporting: Apply security audit and reporting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security audit and reporting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Security Audit And Reporting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Security Audit And Reporting.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“Security Audit And Reporting”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Day_164_Security_Audit_And_Reporting/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Beyond_CyberSecurity_Internship\Day_164_Security_Audit_And_Reporting\evidence, Beyond_CyberSecurity_Internship\Day_164_Security_Audit_And_Reporting\notebooks, Beyond_CyberSecurity_Internship\Day_164_Security_Audit_And_Reporting\src, Beyond_CyberSecurity_Internship\Day_164_Security_Audit_And_Reporting\data, Beyond_CyberSecurity_Internship\Day_164_Security_Audit_And_Reporting\output, Beyond_CyberSecurity_Internship\Day_164_Security_Audit_And_Reporting\report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Beyond_CyberSecurity_Internship/Day_164_Security_Audit_And_Reporting/{evidence,notebooks,src,data,output,report}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Security Audit And Reporting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security audit and reporting.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day_164_lab.py — Guided practical: Security Audit And Reporting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164 practical starter for Security Audit And Reporting.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'Security Audit And Reporting')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Security Audit And Reporting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Security Audit And Reporting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164 (Guided practical) on Security Audit And Reporting.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