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169 STUDENT HANDBOOK</w:t>
      </w:r>
    </w:p>
    <w:p>
      <w:pPr>
        <w:jc w:val="center"/>
      </w:pPr>
      <w:r>
        <w:rPr>
          <w:b/>
          <w:color w:val="1E293B"/>
          <w:sz w:val="28"/>
        </w:rPr>
        <w:t>Defensive Blue-Team Exercise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169 objective  Complete the orientation and setup for Defensive Blue-Team Exercise: Apply defensive blue-team exercise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defensive blue-team exercise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Defensive Blue-Team Exercise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Defensive Blue-Team Exercise.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“Defensive Blue-Team Exercise”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Defensive Blue-Team Exercise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Day_169_Defensive_Blue_Team_Exercise/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Beyond_CyberSecurity_Internship\Day_169_Defensive_Blue_Team_Exercise\evidence, Beyond_CyberSecurity_Internship\Day_169_Defensive_Blue_Team_Exercise\notebooks, Beyond_CyberSecurity_Internship\Day_169_Defensive_Blue_Team_Exercise\src, Beyond_CyberSecurity_Internship\Day_169_Defensive_Blue_Team_Exercise\data, Beyond_CyberSecurity_Internship\Day_169_Defensive_Blue_Team_Exercise\output, Beyond_CyberSecurity_Internship\Day_169_Defensive_Blue_Team_Exercise\report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Beyond_CyberSecurity_Internship/Day_169_Defensive_Blue_Team_Exercise/{evidence,notebooks,src,data,output,report}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Defensive Blue-Team Exercise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defensive blue-team exercise.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day_169_lab.py — Orientation and setup: Defensive Blue-Team Exercise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169 practical starter for Defensive Blue-Team Exercise.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'Defensive Blue-Team Exercise')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Defensive Blue-Team Exercise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Defensive Blue-Team Exercise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169 (Orientation and setup) on Defensive Blue-Team Exercise.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