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179 STUDENT HANDBOOK</w:t>
      </w:r>
    </w:p>
    <w:p>
      <w:pPr>
        <w:jc w:val="center"/>
      </w:pPr>
      <w:r>
        <w:rPr>
          <w:b/>
          <w:color w:val="1E293B"/>
          <w:sz w:val="28"/>
        </w:rPr>
        <w:t>Capstone Risk Assessment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179 objective  Complete the document and improve for Capstone Risk Assessment: Apply capstone risk assessment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risk assessment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Risk Assessment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Risk Assessment.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Risk Assessment”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Day_179_Capstone_Risk_Assessment/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Beyond_CyberSecurity_Internship\Day_179_Capstone_Risk_Assessment\evidence, Beyond_CyberSecurity_Internship\Day_179_Capstone_Risk_Assessment\notebooks, Beyond_CyberSecurity_Internship\Day_179_Capstone_Risk_Assessment\src, Beyond_CyberSecurity_Internship\Day_179_Capstone_Risk_Assessment\data, Beyond_CyberSecurity_Internship\Day_179_Capstone_Risk_Assessment\output, Beyond_CyberSecurity_Internship\Day_179_Capstone_Risk_Assessment\report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Beyond_CyberSecurity_Internship/Day_179_Capstone_Risk_Assessment/{evidence,notebooks,src,data,output,report}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Capstone Risk Assessment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capstone risk assessment,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day_179_lab.py — Document and improve: Capstone Risk Assessment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179 practical starter for Capstone Risk Assessment.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Risk Assessment')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Risk Assessment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Risk Assessment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179 (Document and improve) on Capstone Risk Assessment.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