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12 STUDENT HANDBOOK</w:t>
      </w:r>
    </w:p>
    <w:p>
      <w:pPr>
        <w:jc w:val="center"/>
      </w:pPr>
      <w:r>
        <w:rPr>
          <w:b/>
          <w:color w:val="1E293B"/>
          <w:sz w:val="28"/>
        </w:rPr>
        <w:t>Environment And Notebook Setup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 objective  Complete the assessment and reflection for Environment And Notebook Setup: Apply environment and notebook setup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environment and notebook setup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Environment And Notebook Setup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Environment And Notebook Setup.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“Environment And Notebook Setup”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Day_12_Environment_And_Notebook_Setup/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Beyond_DataScience_Internship\Day_12_Environment_And_Notebook_Setup\evidence, Beyond_DataScience_Internship\Day_12_Environment_And_Notebook_Setup\notebooks, Beyond_DataScience_Internship\Day_12_Environment_And_Notebook_Setup\src, Beyond_DataScience_Internship\Day_12_Environment_And_Notebook_Setup\data, Beyond_DataScience_Internship\Day_12_Environment_And_Notebook_Setup\output, Beyond_DataScience_Internship\Day_12_Environment_And_Notebook_Setup\report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Beyond_DataScience_Internship/Day_12_Environment_And_Notebook_Setup/{evidence,notebooks,src,data,output,report}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Environment And Notebook Setup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environment and notebook setup,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day_12_lab.py — Assessment and reflection: Environment And Notebook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12 practical starter for Environment And Notebook Setup.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'Environment And Notebook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Environment And Notebook Setup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Environment And Notebook Setup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 (Assessment and reflection) on Environment And Notebook Setup.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