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17 STUDENT HANDBOOK</w:t>
      </w:r>
    </w:p>
    <w:p>
      <w:pPr>
        <w:jc w:val="center"/>
      </w:pPr>
      <w:r>
        <w:rPr>
          <w:b/>
          <w:color w:val="1E293B"/>
          <w:sz w:val="28"/>
        </w:rPr>
        <w:t>Spreadsheet Data Hygiene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 objective  Complete the document and improve for Spreadsheet Data Hygiene: Apply spreadsheet data hygiene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spreadsheet data hygiene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Spreadsheet Data Hygiene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Spreadsheet Data Hygiene.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“Spreadsheet Data Hygiene”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Day_17_Spreadsheet_Data_Hygiene/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Beyond_DataScience_Internship\Day_17_Spreadsheet_Data_Hygiene\evidence, Beyond_DataScience_Internship\Day_17_Spreadsheet_Data_Hygiene\notebooks, Beyond_DataScience_Internship\Day_17_Spreadsheet_Data_Hygiene\src, Beyond_DataScience_Internship\Day_17_Spreadsheet_Data_Hygiene\data, Beyond_DataScience_Internship\Day_17_Spreadsheet_Data_Hygiene\output, Beyond_DataScience_Internship\Day_17_Spreadsheet_Data_Hygiene\report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Beyond_DataScience_Internship/Day_17_Spreadsheet_Data_Hygiene/{evidence,notebooks,src,data,output,report}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Spreadsheet Data Hygiene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spreadsheet data hygiene,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day_17_lab.py — Document and improve: Spreadsheet Data Hygiene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 practical starter for Spreadsheet Data Hygiene.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'Spreadsheet Data Hygiene')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Spreadsheet Data Hygiene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Spreadsheet Data Hygiene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 (Document and improve) on Spreadsheet Data Hygiene.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