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42 STUDENT HANDBOOK</w:t>
      </w:r>
    </w:p>
    <w:p>
      <w:pPr>
        <w:jc w:val="center"/>
      </w:pPr>
      <w:r>
        <w:rPr>
          <w:b/>
          <w:color w:val="1E293B"/>
          <w:sz w:val="28"/>
        </w:rPr>
        <w:t>Data Cleaning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42 objective  Complete the assessment and reflection for Data Cleaning: Apply data cleaning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cleaning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Cleaning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Cleaning.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Cleaning”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Day_42_Data_Cleaning/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Beyond_DataScience_Internship\Day_42_Data_Cleaning\evidence, Beyond_DataScience_Internship\Day_42_Data_Cleaning\notebooks, Beyond_DataScience_Internship\Day_42_Data_Cleaning\src, Beyond_DataScience_Internship\Day_42_Data_Cleaning\data, Beyond_DataScience_Internship\Day_42_Data_Cleaning\output, Beyond_DataScience_Internship\Day_42_Data_Cleaning\report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Beyond_DataScience_Internship/Day_42_Data_Cleaning/{evidence,notebooks,src,data,output,report}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Data Cleaning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data cleaning,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day_42_lab.py — Assessment and reflection: Data Cleaning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42 practical starter for Data Cleaning.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Cleaning')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Cleaning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Cleaning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42 (Assessment and reflection) on Data Cleaning.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