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57 STUDENT HANDBOOK</w:t>
      </w:r>
    </w:p>
    <w:p>
      <w:pPr>
        <w:jc w:val="center"/>
      </w:pPr>
      <w:r>
        <w:rPr>
          <w:b/>
          <w:color w:val="1E293B"/>
          <w:sz w:val="28"/>
        </w:rPr>
        <w:t>Data Visualization Principles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57 objective  Complete the independent build for Data Visualization Principles: Apply data visualization principles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data visualization principles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Data Visualization Principles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Visualization Principles.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Visualization Principles”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Day_57_Data_Visualization_Principles/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Beyond_DataScience_Internship\Day_57_Data_Visualization_Principles\evidence, Beyond_DataScience_Internship\Day_57_Data_Visualization_Principles\notebooks, Beyond_DataScience_Internship\Day_57_Data_Visualization_Principles\src, Beyond_DataScience_Internship\Day_57_Data_Visualization_Principles\data, Beyond_DataScience_Internship\Day_57_Data_Visualization_Principles\output, Beyond_DataScience_Internship\Day_57_Data_Visualization_Principles\report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Beyond_DataScience_Internship/Day_57_Data_Visualization_Principles/{evidence,notebooks,src,data,output,report}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Data Visualization Principles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data visualization principles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`src/day_57_lab.py`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day_57_lab.py — Independent build: Data Visualization Principles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57 practical starter for Data Visualization Principles.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Visualization Principles')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Visualization Principles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Visualization Principles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57 (Independent build) on Data Visualization Principles.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