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63 STUDENT HANDBOOK</w:t>
      </w:r>
    </w:p>
    <w:p>
      <w:pPr>
        <w:jc w:val="center"/>
      </w:pPr>
      <w:r>
        <w:rPr>
          <w:b/>
          <w:color w:val="1E293B"/>
          <w:sz w:val="28"/>
        </w:rPr>
        <w:t>Matplotlib And Seaborn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63 objective  Complete the independent build for Matplotlib And Seaborn: Apply matplotlib and seaborn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matplotlib and seaborn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Matplotlib And Seaborn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Matplotlib And Seaborn.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“Matplotlib And Seaborn”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Matplotlib And Seaborn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Day_63_Matplotlib_And_Seaborn/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Beyond_DataScience_Internship\Day_63_Matplotlib_And_Seaborn\evidence, Beyond_DataScience_Internship\Day_63_Matplotlib_And_Seaborn\notebooks, Beyond_DataScience_Internship\Day_63_Matplotlib_And_Seaborn\src, Beyond_DataScience_Internship\Day_63_Matplotlib_And_Seaborn\data, Beyond_DataScience_Internship\Day_63_Matplotlib_And_Seaborn\output, Beyond_DataScience_Internship\Day_63_Matplotlib_And_Seaborn\report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Beyond_DataScience_Internship/Day_63_Matplotlib_And_Seaborn/{evidence,notebooks,src,data,output,report}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Matplotlib And Seaborn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matplotlib and seaborn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day_63_lab.py — Independent build: Matplotlib And Seaborn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63 practical starter for Matplotlib And Seaborn.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'Matplotlib And Seaborn')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Matplotlib And Seaborn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Matplotlib And Seaborn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63 (Independent build) on Matplotlib And Seaborn.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