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65 STUDENT HANDBOOK</w:t>
      </w:r>
    </w:p>
    <w:p>
      <w:pPr>
        <w:jc w:val="center"/>
      </w:pPr>
      <w:r>
        <w:rPr>
          <w:b/>
          <w:color w:val="1E293B"/>
          <w:sz w:val="28"/>
        </w:rPr>
        <w:t>Matplotlib And Seaborn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65 objective  Complete the document and improve for Matplotlib And Seaborn: Apply matplotlib and seaborn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matplotlib and seaborn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Matplotlib And Seaborn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Matplotlib And Seaborn.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“Matplotlib And Seaborn”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Matplotlib And Seaborn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Day_65_Matplotlib_And_Seaborn/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Beyond_DataScience_Internship\Day_65_Matplotlib_And_Seaborn\evidence, Beyond_DataScience_Internship\Day_65_Matplotlib_And_Seaborn\notebooks, Beyond_DataScience_Internship\Day_65_Matplotlib_And_Seaborn\src, Beyond_DataScience_Internship\Day_65_Matplotlib_And_Seaborn\data, Beyond_DataScience_Internship\Day_65_Matplotlib_And_Seaborn\output, Beyond_DataScience_Internship\Day_65_Matplotlib_And_Seaborn\report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Beyond_DataScience_Internship/Day_65_Matplotlib_And_Seaborn/{evidence,notebooks,src,data,output,report}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Matplotlib And Seaborn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matplotlib and seaborn,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`src/day_65_lab.py`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day_65_lab.py — Document and improve: Matplotlib And Seaborn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65 practical starter for Matplotlib And Seaborn.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'Matplotlib And Seaborn')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day-65_pack_list.png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day-65_verify.png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report/day-65_technical_report.md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Matplotlib And Seaborn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Matplotlib And Seaborn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65 (Document and improve) on Matplotlib And Seaborn.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