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85 STUDENT HANDBOOK</w:t>
      </w:r>
    </w:p>
    <w:p>
      <w:pPr>
        <w:jc w:val="center"/>
      </w:pPr>
      <w:r>
        <w:rPr>
          <w:b/>
          <w:color w:val="1E293B"/>
          <w:sz w:val="28"/>
        </w:rPr>
        <w:t>Correlation And Causation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85 objective  Complete the orientation and setup for Correlation And Causation: Apply correlation and causation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correlation and causation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Correlation And Causation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Correlation And Causation.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“Correlation And Causation”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Correlation And Causation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Day_85_Correlation_And_Causation/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Beyond_DataScience_Internship\Day_85_Correlation_And_Causation\evidence, Beyond_DataScience_Internship\Day_85_Correlation_And_Causation\notebooks, Beyond_DataScience_Internship\Day_85_Correlation_And_Causation\src, Beyond_DataScience_Internship\Day_85_Correlation_And_Causation\data, Beyond_DataScience_Internship\Day_85_Correlation_And_Causation\output, Beyond_DataScience_Internship\Day_85_Correlation_And_Causation\report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Beyond_DataScience_Internship/Day_85_Correlation_And_Causation/{evidence,notebooks,src,data,output,report}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Correlation And Causation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correlation and causation.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day_85_lab.py — Orientation and setup: Correlation And Causation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85 practical starter for Correlation And Causation.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'Correlation And Causation')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Correlation And Causation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Correlation And Causation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85 (Orientation and setup) on Correlation And Causation.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