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117 STUDENT HANDBOOK</w:t>
      </w:r>
    </w:p>
    <w:p>
      <w:pPr>
        <w:jc w:val="center"/>
      </w:pPr>
      <w:r>
        <w:rPr>
          <w:b/>
          <w:color w:val="1E293B"/>
          <w:sz w:val="28"/>
        </w:rPr>
        <w:t>Time-Series Basics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117 objective  Complete the independent build for Time-Series Basics: Apply time-series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time-series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Time-Series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Time-Series Basics.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“Time-Series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Time-Series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Day_117_Time_Series_Basics/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Beyond_DataScience_Internship\Day_117_Time_Series_Basics\evidence, Beyond_DataScience_Internship\Day_117_Time_Series_Basics\notebooks, Beyond_DataScience_Internship\Day_117_Time_Series_Basics\src, Beyond_DataScience_Internship\Day_117_Time_Series_Basics\data, Beyond_DataScience_Internship\Day_117_Time_Series_Basics\output, Beyond_DataScience_Internship\Day_117_Time_Series_Basics\report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Beyond_DataScience_Internship/Day_117_Time_Series_Basics/{evidence,notebooks,src,data,output,report}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Time-Series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time-series basics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day_117_lab.py — Independent build: Time-Series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117 practical starter for Time-Series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'Time-Series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Time-Series Basics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Time-Series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117 (Independent build) on Time-Series Basics.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