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139 STUDENT HANDBOOK</w:t>
      </w:r>
    </w:p>
    <w:p>
      <w:pPr>
        <w:jc w:val="center"/>
      </w:pPr>
      <w:r>
        <w:rPr>
          <w:b/>
          <w:color w:val="1E293B"/>
          <w:sz w:val="28"/>
        </w:rPr>
        <w:t>Privacy And Anonymization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139 objective  Complete the orientation and setup for Privacy And Anonymization: Apply privacy and anonymization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privacy and anonymization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Privacy And Anonymization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Privacy And Anonymization.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“Privacy And Anonymization”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Privacy And Anonymization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Day_139_Privacy_And_Anonymization/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Beyond_DataScience_Internship\Day_139_Privacy_And_Anonymization\evidence, Beyond_DataScience_Internship\Day_139_Privacy_And_Anonymization\notebooks, Beyond_DataScience_Internship\Day_139_Privacy_And_Anonymization\src, Beyond_DataScience_Internship\Day_139_Privacy_And_Anonymization\data, Beyond_DataScience_Internship\Day_139_Privacy_And_Anonymization\output, Beyond_DataScience_Internship\Day_139_Privacy_And_Anonymization\report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Beyond_DataScience_Internship/Day_139_Privacy_And_Anonymization/{evidence,notebooks,src,data,output,report}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Privacy And Anonymization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privacy and anonymization.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day_139_lab.py — Orientation and setup: Privacy And Anonymization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139 practical starter for Privacy And Anonymization.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'Privacy And Anonymization')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Privacy And Anonymization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Privacy And Anonymization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139 (Orientation and setup) on Privacy And Anonymization.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