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144 STUDENT HANDBOOK</w:t>
      </w:r>
    </w:p>
    <w:p>
      <w:pPr>
        <w:jc w:val="center"/>
      </w:pPr>
      <w:r>
        <w:rPr>
          <w:b/>
          <w:color w:val="1E293B"/>
          <w:sz w:val="28"/>
        </w:rPr>
        <w:t>Privacy And Anonymization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144 objective  Complete the assessment and reflection for Privacy And Anonymization: Apply privacy and anonymization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privacy and anonymization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Privacy And Anonymization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Privacy And Anonymization.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“Privacy And Anonymization”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Privacy And Anonymization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Day_144_Privacy_And_Anonymization/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Beyond_DataScience_Internship\Day_144_Privacy_And_Anonymization\evidence, Beyond_DataScience_Internship\Day_144_Privacy_And_Anonymization\notebooks, Beyond_DataScience_Internship\Day_144_Privacy_And_Anonymization\src, Beyond_DataScience_Internship\Day_144_Privacy_And_Anonymization\data, Beyond_DataScience_Internship\Day_144_Privacy_And_Anonymization\output, Beyond_DataScience_Internship\Day_144_Privacy_And_Anonymization\report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Beyond_DataScience_Internship/Day_144_Privacy_And_Anonymization/{evidence,notebooks,src,data,output,report}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Privacy And Anonymization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privacy and anonymization,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day_144_lab.py — Assessment and reflection: Privacy And Anonymization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144 practical starter for Privacy And Anonymization.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'Privacy And Anonymization')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Privacy And Anonymization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Privacy And Anonymization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144 (Assessment and reflection) on Privacy And Anonymization.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