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145 STUDENT HANDBOOK</w:t>
      </w:r>
    </w:p>
    <w:p>
      <w:pPr>
        <w:jc w:val="center"/>
      </w:pPr>
      <w:r>
        <w:rPr>
          <w:b/>
          <w:color w:val="1E293B"/>
          <w:sz w:val="28"/>
        </w:rPr>
        <w:t>Reproducible Analysis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145 objective  Complete the orientation and setup for Reproducible Analysis: Apply reproducible analysis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reproducible analysis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Reproducible Analysis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Reproducible Analysis.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“Reproducible Analysis”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Reproducible Analysis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Day_145_Reproducible_Analysis/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Beyond_DataScience_Internship\Day_145_Reproducible_Analysis\evidence, Beyond_DataScience_Internship\Day_145_Reproducible_Analysis\notebooks, Beyond_DataScience_Internship\Day_145_Reproducible_Analysis\src, Beyond_DataScience_Internship\Day_145_Reproducible_Analysis\data, Beyond_DataScience_Internship\Day_145_Reproducible_Analysis\output, Beyond_DataScience_Internship\Day_145_Reproducible_Analysis\report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Beyond_DataScience_Internship/Day_145_Reproducible_Analysis/{evidence,notebooks,src,data,output,report}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Reproducible Analysis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reproducible analysis.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`src/day_145_lab.py`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day_145_lab.py — Orientation and setup: Reproducible Analysis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145 practical starter for Reproducible Analysis.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'Reproducible Analysis')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Reproducible Analysis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Reproducible Analysis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145 (Orientation and setup) on Reproducible Analysis.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