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148 STUDENT HANDBOOK</w:t>
      </w:r>
    </w:p>
    <w:p>
      <w:pPr>
        <w:jc w:val="center"/>
      </w:pPr>
      <w:r>
        <w:rPr>
          <w:b/>
          <w:color w:val="1E293B"/>
          <w:sz w:val="28"/>
        </w:rPr>
        <w:t>Reproducible Analysis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148 objective  Complete the troubleshoot for Reproducible Analysis: Apply reproducible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reproducible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Reproducible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Reproducible Analysis.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“Reproducible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Reproducible Analysis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Day_148_Reproducible_Analysis/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Beyond_DataScience_Internship\Day_148_Reproducible_Analysis\evidence, Beyond_DataScience_Internship\Day_148_Reproducible_Analysis\notebooks, Beyond_DataScience_Internship\Day_148_Reproducible_Analysis\src, Beyond_DataScience_Internship\Day_148_Reproducible_Analysis\data, Beyond_DataScience_Internship\Day_148_Reproducible_Analysis\output, Beyond_DataScience_Internship\Day_148_Reproducible_Analysis\report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Beyond_DataScience_Internship/Day_148_Reproducible_Analysis/{evidence,notebooks,src,data,output,report}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Reproducible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reproducible analysis.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day_148_lab.py — Troubleshoot: Reproducible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148 practical starter for Reproducible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'Reproducible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Reproducible Analysis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Reproducible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148 (Troubleshoot) on Reproducible Analysis.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