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157 STUDENT HANDBOOK</w:t>
      </w:r>
    </w:p>
    <w:p>
      <w:pPr>
        <w:jc w:val="center"/>
      </w:pPr>
      <w:r>
        <w:rPr>
          <w:b/>
          <w:color w:val="1E293B"/>
          <w:sz w:val="28"/>
        </w:rPr>
        <w:t>Stakeholder Requirements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157 objective  Complete the orientation and setup for Stakeholder Requirements: Apply stakeholder requirements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stakeholder requirements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Stakeholder Requirements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Stakeholder Requirements.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“Stakeholder Requirements”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Stakeholder Requirements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Day_157_Stakeholder_Requirements/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Beyond_DataScience_Internship\Day_157_Stakeholder_Requirements\evidence, Beyond_DataScience_Internship\Day_157_Stakeholder_Requirements\notebooks, Beyond_DataScience_Internship\Day_157_Stakeholder_Requirements\src, Beyond_DataScience_Internship\Day_157_Stakeholder_Requirements\data, Beyond_DataScience_Internship\Day_157_Stakeholder_Requirements\output, Beyond_DataScience_Internship\Day_157_Stakeholder_Requirements\report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Beyond_DataScience_Internship/Day_157_Stakeholder_Requirements/{evidence,notebooks,src,data,output,report}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Stakeholder Requirements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stakeholder requirements.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day_157_lab.py — Orientation and setup: Stakeholder Requirements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157 practical starter for Stakeholder Requirements.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'Stakeholder Requirements')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Stakeholder Requirements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Stakeholder Requirements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157 (Orientation and setup) on Stakeholder Requirements.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