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162 STUDENT HANDBOOK</w:t>
      </w:r>
    </w:p>
    <w:p>
      <w:pPr>
        <w:jc w:val="center"/>
      </w:pPr>
      <w:r>
        <w:rPr>
          <w:b/>
          <w:color w:val="1E293B"/>
          <w:sz w:val="28"/>
        </w:rPr>
        <w:t>Stakeholder Requirements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162 objective  Complete the assessment and reflection for Stakeholder Requirements: Apply stakeholder requirements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stakeholder requirements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Stakeholder Requirements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Stakeholder Requirements.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“Stakeholder Requirements”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Stakeholder Requirements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Day_162_Stakeholder_Requirements/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Beyond_DataScience_Internship\Day_162_Stakeholder_Requirements\evidence, Beyond_DataScience_Internship\Day_162_Stakeholder_Requirements\notebooks, Beyond_DataScience_Internship\Day_162_Stakeholder_Requirements\src, Beyond_DataScience_Internship\Day_162_Stakeholder_Requirements\data, Beyond_DataScience_Internship\Day_162_Stakeholder_Requirements\output, Beyond_DataScience_Internship\Day_162_Stakeholder_Requirements\report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Beyond_DataScience_Internship/Day_162_Stakeholder_Requirements/{evidence,notebooks,src,data,output,report}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Stakeholder Requirements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stakeholder requirements,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day_162_lab.py — Assessment and reflection: Stakeholder Requirements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162 practical starter for Stakeholder Requirements.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'Stakeholder Requirements')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Stakeholder Requirements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Stakeholder Requirements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162 (Assessment and reflection) on Stakeholder Requirements.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