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164 STUDENT HANDBOOK</w:t>
      </w:r>
    </w:p>
    <w:p>
      <w:pPr>
        <w:jc w:val="center"/>
      </w:pPr>
      <w:r>
        <w:rPr>
          <w:b/>
          <w:color w:val="1E293B"/>
          <w:sz w:val="28"/>
        </w:rPr>
        <w:t>Rural-Business Dataset Project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164 objective  Complete the guided practical for Rural-Business Dataset Project: Apply rural-business dataset project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rural-business dataset project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Rural-Business Dataset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Rural-Business Dataset Project.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“Rural-Business Dataset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Day_164_Rural_Business_Dataset_Project/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Beyond_DataScience_Internship\Day_164_Rural_Business_Dataset_Project\evidence, Beyond_DataScience_Internship\Day_164_Rural_Business_Dataset_Project\notebooks, Beyond_DataScience_Internship\Day_164_Rural_Business_Dataset_Project\src, Beyond_DataScience_Internship\Day_164_Rural_Business_Dataset_Project\data, Beyond_DataScience_Internship\Day_164_Rural_Business_Dataset_Project\output, Beyond_DataScience_Internship\Day_164_Rural_Business_Dataset_Project\report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Beyond_DataScience_Internship/Day_164_Rural_Business_Dataset_Project/{evidence,notebooks,src,data,output,report}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Rural-Business Dataset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rural-business dataset project.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`src/day_164_lab.py`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day_164_lab.py — Guided practical: Rural-Business Dataset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164 practical starter for Rural-Business Dataset Project.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'Rural-Business Dataset Project')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Rural-Business Dataset Project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Rural-Business Dataset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164 (Guided practical) on Rural-Business Dataset Project.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