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33 STUDENT HANDBOOK</w:t>
      </w:r>
    </w:p>
    <w:p>
      <w:pPr>
        <w:jc w:val="center"/>
      </w:pPr>
      <w:r>
        <w:rPr>
          <w:b/>
          <w:color w:val="1E293B"/>
          <w:sz w:val="28"/>
        </w:rPr>
        <w:t>Matrix Intercom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33 objective  Complete the independent build for Matrix Intercom Concepts: Apply matrix intercom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matrix intercom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Matrix Intercom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Matrix Intercom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“Matrix Intercom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Day_33_Matrix_Intercom_Concepts/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Matrix Intercom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matrix intercom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Matrix Intercom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"Matrix Intercom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Matrix Intercom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Matrix Intercom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33 (Independent build) on Matrix Intercom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