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40 STUDENT HANDBOOK</w:t>
      </w:r>
    </w:p>
    <w:p>
      <w:pPr>
        <w:jc w:val="center"/>
      </w:pPr>
      <w:r>
        <w:rPr>
          <w:b/>
          <w:color w:val="1E293B"/>
          <w:sz w:val="28"/>
        </w:rPr>
        <w:t>Beltpacks And Headsets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40 objective  Complete the troubleshoot for Beltpacks And Headsets: Apply beltpacks and headsets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beltpacks and headsets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Beltpacks And Headsets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Beltpacks And Headsets.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“Beltpacks And Headsets”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Channel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talks to whom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channel assignment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Cross-talk in show-critical moment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Posted channel card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Call language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Clear, short, professional phrases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Practise standard calls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Jokes during cues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Etiquette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Backup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way to communicate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 spare beltpack/channel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Single point of failure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Backup test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Day_40_Beltpacks_And_Headsets/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Beltpacks And Headsets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beltpacks and headsets.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40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Beltpacks And Headsets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"Beltpacks And Headsets"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day-40_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Beltpacks And Headsets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Beltpacks And Headsets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40 (Troubleshoot) on Beltpacks And Headsets.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