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16 STUDENT HANDBOOK</w:t>
      </w:r>
    </w:p>
    <w:p>
      <w:pPr>
        <w:jc w:val="center"/>
      </w:pPr>
      <w:r>
        <w:rPr>
          <w:b/>
          <w:color w:val="1E293B"/>
          <w:sz w:val="28"/>
        </w:rPr>
        <w:t>Fixture Types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 objective  Complete the troubleshoot for Fixture Types: Apply fixture types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fixture types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Fixture Types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Fixture Types.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“Fixture Types”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Day_16_Fixture_Types/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Fixture Types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fixture types.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Fixture Types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"Fixture Types"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Fixture Types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Fixture Types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 (Troubleshoot) on Fixture Types.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