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32 STUDENT HANDBOOK</w:t>
      </w:r>
    </w:p>
    <w:p>
      <w:pPr>
        <w:jc w:val="center"/>
      </w:pPr>
      <w:r>
        <w:rPr>
          <w:b/>
          <w:color w:val="1E293B"/>
          <w:sz w:val="28"/>
        </w:rPr>
        <w:t>Dmx512 Fundamentals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32 objective  Complete the guided practical for Dmx512 Fundamentals: Apply DMX512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DMX512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Dmx512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Dmx512 Fundamentals.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“Dmx512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Day_32_Dmx512_Fundamentals/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Dmx512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DMX512 fundamentals.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Dmx512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"Dmx512 Fundamentals"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Dmx512 Fundamentals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Dmx512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32 (Guided practical) on Dmx512 Fundamentals.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