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133 STUDENT HANDBOOK</w:t>
      </w:r>
    </w:p>
    <w:p>
      <w:pPr>
        <w:jc w:val="center"/>
      </w:pPr>
      <w:r>
        <w:rPr>
          <w:b/>
          <w:color w:val="1E293B"/>
          <w:sz w:val="28"/>
        </w:rPr>
        <w:t>Timecode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133 objective  Complete the orientation and setup for Timecode Concepts: Apply timecode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timecode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Timecode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Timecode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“Timecode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Timecode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Day_133_Timecode_Concepts/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Timecode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timecode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Timecode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"Timecode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Timecode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Timecode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133 (Orientation and setup) on Timecode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