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137 STUDENT HANDBOOK</w:t>
      </w:r>
    </w:p>
    <w:p>
      <w:pPr>
        <w:jc w:val="center"/>
      </w:pPr>
      <w:r>
        <w:rPr>
          <w:b/>
          <w:color w:val="1E293B"/>
          <w:sz w:val="28"/>
        </w:rPr>
        <w:t>Timecode Concepts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137 objective  Complete the document and improve for Timecode Concepts: Apply timecode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timecode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Timecode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Timecode Concepts.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“Timecode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Timecode Concepts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Day_137_Timecode_Concepts/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Timecode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timecode concepts,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137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Timecode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"Timecode Concepts"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day-137_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Timecode Concepts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Timecode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137 (Document and improve) on Timecode Concepts.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