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171 STUDENT HANDBOOK</w:t>
      </w:r>
    </w:p>
    <w:p>
      <w:pPr>
        <w:jc w:val="center"/>
      </w:pPr>
      <w:r>
        <w:rPr>
          <w:b/>
          <w:color w:val="1E293B"/>
          <w:sz w:val="28"/>
        </w:rPr>
        <w:t>Full Event Design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171 objective  Complete the independent build for Full Event Design: Apply full event design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full event design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Full Event Design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Full Event Design.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“Full Event Design”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Full Event Design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Day_171_Full_Event_Design/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Full Event Design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full event design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Full Event Design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"Full Event Design"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Full Event Design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Full Event Design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171 (Independent build) on Full Event Design.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